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E48B" w14:textId="77777777" w:rsidR="00677684" w:rsidRDefault="00A22DEF" w:rsidP="00677684">
      <w:pPr>
        <w:pStyle w:val="berschrift1"/>
        <w:spacing w:before="78" w:line="278" w:lineRule="auto"/>
        <w:ind w:left="0" w:right="570"/>
        <w:rPr>
          <w:sz w:val="22"/>
          <w:szCs w:val="22"/>
        </w:rPr>
      </w:pPr>
      <w:r w:rsidRPr="00677684">
        <w:rPr>
          <w:sz w:val="22"/>
          <w:szCs w:val="22"/>
        </w:rPr>
        <w:t xml:space="preserve">Verschonungssatzung </w:t>
      </w:r>
    </w:p>
    <w:p w14:paraId="6CA0C923" w14:textId="17554D9C" w:rsidR="006108B5" w:rsidRPr="00677684" w:rsidRDefault="00A22DEF" w:rsidP="00677684">
      <w:pPr>
        <w:pStyle w:val="berschrift1"/>
        <w:spacing w:before="78" w:line="278" w:lineRule="auto"/>
        <w:ind w:left="0" w:right="570"/>
        <w:rPr>
          <w:sz w:val="22"/>
          <w:szCs w:val="22"/>
        </w:rPr>
      </w:pPr>
      <w:r w:rsidRPr="00677684">
        <w:rPr>
          <w:sz w:val="22"/>
          <w:szCs w:val="22"/>
        </w:rPr>
        <w:t xml:space="preserve">der </w:t>
      </w:r>
      <w:r w:rsidR="00917AE6">
        <w:rPr>
          <w:sz w:val="22"/>
          <w:szCs w:val="22"/>
        </w:rPr>
        <w:t>Stadt Westerburg</w:t>
      </w:r>
    </w:p>
    <w:p w14:paraId="6F51451D" w14:textId="5EF51748" w:rsidR="006108B5" w:rsidRPr="00677684" w:rsidRDefault="00A22DEF" w:rsidP="00677684">
      <w:pPr>
        <w:spacing w:before="156" w:line="259" w:lineRule="auto"/>
        <w:ind w:right="570"/>
        <w:jc w:val="center"/>
        <w:rPr>
          <w:b/>
        </w:rPr>
      </w:pPr>
      <w:r w:rsidRPr="00677684">
        <w:rPr>
          <w:b/>
        </w:rPr>
        <w:t xml:space="preserve">zur Verschonung von Abrechnungsgebieten gemäß § 14 der Satzung zur Erhebung </w:t>
      </w:r>
      <w:r w:rsidR="00677684">
        <w:rPr>
          <w:b/>
        </w:rPr>
        <w:br/>
      </w:r>
      <w:r w:rsidRPr="00677684">
        <w:rPr>
          <w:b/>
        </w:rPr>
        <w:t xml:space="preserve">von wiederkehrenden Beiträgen für den Ausbau von Verkehrsanlagen </w:t>
      </w:r>
      <w:r w:rsidR="00677684">
        <w:rPr>
          <w:b/>
        </w:rPr>
        <w:br/>
      </w:r>
      <w:r w:rsidRPr="00677684">
        <w:rPr>
          <w:b/>
        </w:rPr>
        <w:t xml:space="preserve">der </w:t>
      </w:r>
      <w:r w:rsidR="00917AE6">
        <w:rPr>
          <w:b/>
        </w:rPr>
        <w:t>Stadt Westerburg</w:t>
      </w:r>
      <w:r w:rsidRPr="00677684">
        <w:rPr>
          <w:b/>
        </w:rPr>
        <w:t xml:space="preserve"> vom </w:t>
      </w:r>
      <w:r w:rsidR="00EB7798">
        <w:rPr>
          <w:b/>
        </w:rPr>
        <w:t>07.12.2023</w:t>
      </w:r>
    </w:p>
    <w:p w14:paraId="1BD55E0D" w14:textId="77777777" w:rsidR="006108B5" w:rsidRPr="00677684" w:rsidRDefault="006108B5" w:rsidP="00677684">
      <w:pPr>
        <w:pStyle w:val="Textkrper"/>
        <w:ind w:left="0" w:right="570" w:firstLine="0"/>
        <w:rPr>
          <w:b/>
          <w:sz w:val="22"/>
          <w:szCs w:val="22"/>
        </w:rPr>
      </w:pPr>
    </w:p>
    <w:p w14:paraId="6385DD94" w14:textId="77777777" w:rsidR="006108B5" w:rsidRPr="00677684" w:rsidRDefault="006108B5" w:rsidP="00677684">
      <w:pPr>
        <w:pStyle w:val="Textkrper"/>
        <w:spacing w:before="6"/>
        <w:ind w:left="0" w:right="570" w:firstLine="0"/>
        <w:rPr>
          <w:b/>
          <w:sz w:val="22"/>
          <w:szCs w:val="22"/>
        </w:rPr>
      </w:pPr>
    </w:p>
    <w:p w14:paraId="21927433" w14:textId="263E0DDF" w:rsidR="006108B5" w:rsidRPr="00677684" w:rsidRDefault="00A22DEF" w:rsidP="00677684">
      <w:pPr>
        <w:pStyle w:val="Textkrper"/>
        <w:spacing w:line="259" w:lineRule="auto"/>
        <w:ind w:left="116" w:right="570" w:firstLine="0"/>
        <w:jc w:val="both"/>
        <w:rPr>
          <w:sz w:val="22"/>
          <w:szCs w:val="22"/>
        </w:rPr>
      </w:pPr>
      <w:r w:rsidRPr="00677684">
        <w:rPr>
          <w:sz w:val="22"/>
          <w:szCs w:val="22"/>
        </w:rPr>
        <w:t>Der</w:t>
      </w:r>
      <w:r w:rsidR="00917AE6">
        <w:rPr>
          <w:sz w:val="22"/>
          <w:szCs w:val="22"/>
        </w:rPr>
        <w:t>Stadtrat der Stadt Westerburg</w:t>
      </w:r>
      <w:r w:rsidRPr="00677684">
        <w:rPr>
          <w:sz w:val="22"/>
          <w:szCs w:val="22"/>
        </w:rPr>
        <w:t xml:space="preserve"> hat aufgrund des § 24 der Gemeindeordnung</w:t>
      </w:r>
      <w:r w:rsidRPr="00677684">
        <w:rPr>
          <w:spacing w:val="-12"/>
          <w:sz w:val="22"/>
          <w:szCs w:val="22"/>
        </w:rPr>
        <w:t xml:space="preserve"> </w:t>
      </w:r>
      <w:r w:rsidRPr="00677684">
        <w:rPr>
          <w:sz w:val="22"/>
          <w:szCs w:val="22"/>
        </w:rPr>
        <w:t>(GemO)</w:t>
      </w:r>
      <w:r w:rsidRPr="00677684">
        <w:rPr>
          <w:spacing w:val="-14"/>
          <w:sz w:val="22"/>
          <w:szCs w:val="22"/>
        </w:rPr>
        <w:t xml:space="preserve"> </w:t>
      </w:r>
      <w:r w:rsidRPr="00677684">
        <w:rPr>
          <w:sz w:val="22"/>
          <w:szCs w:val="22"/>
        </w:rPr>
        <w:t>und</w:t>
      </w:r>
      <w:r w:rsidRPr="00677684">
        <w:rPr>
          <w:spacing w:val="-13"/>
          <w:sz w:val="22"/>
          <w:szCs w:val="22"/>
        </w:rPr>
        <w:t xml:space="preserve"> </w:t>
      </w:r>
      <w:r w:rsidRPr="00677684">
        <w:rPr>
          <w:sz w:val="22"/>
          <w:szCs w:val="22"/>
        </w:rPr>
        <w:t>der</w:t>
      </w:r>
      <w:r w:rsidRPr="00677684">
        <w:rPr>
          <w:spacing w:val="-12"/>
          <w:sz w:val="22"/>
          <w:szCs w:val="22"/>
        </w:rPr>
        <w:t xml:space="preserve"> </w:t>
      </w:r>
      <w:r w:rsidRPr="00677684">
        <w:rPr>
          <w:sz w:val="22"/>
          <w:szCs w:val="22"/>
        </w:rPr>
        <w:t>§§</w:t>
      </w:r>
      <w:r w:rsidRPr="00677684">
        <w:rPr>
          <w:spacing w:val="-13"/>
          <w:sz w:val="22"/>
          <w:szCs w:val="22"/>
        </w:rPr>
        <w:t xml:space="preserve"> </w:t>
      </w:r>
      <w:r w:rsidRPr="00677684">
        <w:rPr>
          <w:sz w:val="22"/>
          <w:szCs w:val="22"/>
        </w:rPr>
        <w:t>2</w:t>
      </w:r>
      <w:r w:rsidRPr="00677684">
        <w:rPr>
          <w:spacing w:val="-11"/>
          <w:sz w:val="22"/>
          <w:szCs w:val="22"/>
        </w:rPr>
        <w:t xml:space="preserve"> </w:t>
      </w:r>
      <w:r w:rsidRPr="00677684">
        <w:rPr>
          <w:sz w:val="22"/>
          <w:szCs w:val="22"/>
        </w:rPr>
        <w:t>Abs.</w:t>
      </w:r>
      <w:r w:rsidRPr="00677684">
        <w:rPr>
          <w:spacing w:val="-12"/>
          <w:sz w:val="22"/>
          <w:szCs w:val="22"/>
        </w:rPr>
        <w:t xml:space="preserve"> </w:t>
      </w:r>
      <w:r w:rsidRPr="00677684">
        <w:rPr>
          <w:sz w:val="22"/>
          <w:szCs w:val="22"/>
        </w:rPr>
        <w:t>1,</w:t>
      </w:r>
      <w:r w:rsidRPr="00677684">
        <w:rPr>
          <w:spacing w:val="-11"/>
          <w:sz w:val="22"/>
          <w:szCs w:val="22"/>
        </w:rPr>
        <w:t xml:space="preserve"> </w:t>
      </w:r>
      <w:r w:rsidRPr="00677684">
        <w:rPr>
          <w:sz w:val="22"/>
          <w:szCs w:val="22"/>
        </w:rPr>
        <w:t>7,</w:t>
      </w:r>
      <w:r w:rsidRPr="00677684">
        <w:rPr>
          <w:spacing w:val="-13"/>
          <w:sz w:val="22"/>
          <w:szCs w:val="22"/>
        </w:rPr>
        <w:t xml:space="preserve"> </w:t>
      </w:r>
      <w:r w:rsidRPr="00677684">
        <w:rPr>
          <w:sz w:val="22"/>
          <w:szCs w:val="22"/>
        </w:rPr>
        <w:t>10</w:t>
      </w:r>
      <w:r w:rsidRPr="00677684">
        <w:rPr>
          <w:spacing w:val="-13"/>
          <w:sz w:val="22"/>
          <w:szCs w:val="22"/>
        </w:rPr>
        <w:t xml:space="preserve"> </w:t>
      </w:r>
      <w:r w:rsidRPr="00677684">
        <w:rPr>
          <w:sz w:val="22"/>
          <w:szCs w:val="22"/>
        </w:rPr>
        <w:t>und</w:t>
      </w:r>
      <w:r w:rsidRPr="00677684">
        <w:rPr>
          <w:spacing w:val="-11"/>
          <w:sz w:val="22"/>
          <w:szCs w:val="22"/>
        </w:rPr>
        <w:t xml:space="preserve"> </w:t>
      </w:r>
      <w:r w:rsidRPr="00677684">
        <w:rPr>
          <w:sz w:val="22"/>
          <w:szCs w:val="22"/>
        </w:rPr>
        <w:t>10</w:t>
      </w:r>
      <w:r w:rsidRPr="00677684">
        <w:rPr>
          <w:spacing w:val="-13"/>
          <w:sz w:val="22"/>
          <w:szCs w:val="22"/>
        </w:rPr>
        <w:t xml:space="preserve"> </w:t>
      </w:r>
      <w:r w:rsidRPr="00677684">
        <w:rPr>
          <w:sz w:val="22"/>
          <w:szCs w:val="22"/>
        </w:rPr>
        <w:t>a</w:t>
      </w:r>
      <w:r w:rsidRPr="00677684">
        <w:rPr>
          <w:spacing w:val="-13"/>
          <w:sz w:val="22"/>
          <w:szCs w:val="22"/>
        </w:rPr>
        <w:t xml:space="preserve"> </w:t>
      </w:r>
      <w:r w:rsidRPr="00677684">
        <w:rPr>
          <w:sz w:val="22"/>
          <w:szCs w:val="22"/>
        </w:rPr>
        <w:t>des</w:t>
      </w:r>
      <w:r w:rsidRPr="00677684">
        <w:rPr>
          <w:spacing w:val="-12"/>
          <w:sz w:val="22"/>
          <w:szCs w:val="22"/>
        </w:rPr>
        <w:t xml:space="preserve"> </w:t>
      </w:r>
      <w:r w:rsidRPr="00677684">
        <w:rPr>
          <w:sz w:val="22"/>
          <w:szCs w:val="22"/>
        </w:rPr>
        <w:t>Kommunalabgabengesetzes (KAG) und gem. §</w:t>
      </w:r>
      <w:r w:rsidR="00677684">
        <w:rPr>
          <w:sz w:val="22"/>
          <w:szCs w:val="22"/>
        </w:rPr>
        <w:t> </w:t>
      </w:r>
      <w:r w:rsidRPr="00677684">
        <w:rPr>
          <w:sz w:val="22"/>
          <w:szCs w:val="22"/>
        </w:rPr>
        <w:t xml:space="preserve">14 der Satzung zur Erhebung von wiederkehrenden Beiträgen für den Ausbau von Verkehrsanlagen der </w:t>
      </w:r>
      <w:r w:rsidR="00917AE6">
        <w:rPr>
          <w:sz w:val="22"/>
          <w:szCs w:val="22"/>
        </w:rPr>
        <w:t>Stadt Westerburg</w:t>
      </w:r>
      <w:r w:rsidRPr="00677684">
        <w:rPr>
          <w:sz w:val="22"/>
          <w:szCs w:val="22"/>
        </w:rPr>
        <w:t xml:space="preserve"> (Ausbaubeitragssatzung wiederkehrende Beiträge) </w:t>
      </w:r>
      <w:r w:rsidR="00677684">
        <w:rPr>
          <w:sz w:val="22"/>
          <w:szCs w:val="22"/>
        </w:rPr>
        <w:t xml:space="preserve">in seiner Sitzung vom </w:t>
      </w:r>
      <w:r w:rsidR="00EB7798">
        <w:rPr>
          <w:sz w:val="22"/>
          <w:szCs w:val="22"/>
        </w:rPr>
        <w:t>07.12.2023</w:t>
      </w:r>
      <w:r w:rsidR="00677684">
        <w:rPr>
          <w:sz w:val="22"/>
          <w:szCs w:val="22"/>
        </w:rPr>
        <w:t xml:space="preserve"> </w:t>
      </w:r>
      <w:r w:rsidRPr="00677684">
        <w:rPr>
          <w:sz w:val="22"/>
          <w:szCs w:val="22"/>
        </w:rPr>
        <w:t>folgende Satzung beschlossen, die hiermit bekannt gemacht wird:</w:t>
      </w:r>
    </w:p>
    <w:p w14:paraId="7E83BFA2" w14:textId="77777777" w:rsidR="006108B5" w:rsidRPr="00677684" w:rsidRDefault="006108B5" w:rsidP="00677684">
      <w:pPr>
        <w:pStyle w:val="Textkrper"/>
        <w:spacing w:before="7"/>
        <w:ind w:left="0" w:right="570" w:firstLine="0"/>
        <w:rPr>
          <w:sz w:val="22"/>
          <w:szCs w:val="22"/>
        </w:rPr>
      </w:pPr>
    </w:p>
    <w:p w14:paraId="1F5BB6F2" w14:textId="77777777" w:rsidR="006108B5" w:rsidRPr="00677684" w:rsidRDefault="00A22DEF" w:rsidP="00677684">
      <w:pPr>
        <w:pStyle w:val="berschrift1"/>
        <w:spacing w:before="0"/>
        <w:ind w:right="570"/>
        <w:rPr>
          <w:sz w:val="22"/>
          <w:szCs w:val="22"/>
        </w:rPr>
      </w:pPr>
      <w:r w:rsidRPr="00677684">
        <w:rPr>
          <w:sz w:val="22"/>
          <w:szCs w:val="22"/>
        </w:rPr>
        <w:t>§ 1</w:t>
      </w:r>
    </w:p>
    <w:p w14:paraId="1C861697" w14:textId="77777777" w:rsidR="006108B5" w:rsidRPr="00677684" w:rsidRDefault="00A22DEF" w:rsidP="00677684">
      <w:pPr>
        <w:spacing w:before="22"/>
        <w:ind w:left="119" w:right="570"/>
        <w:jc w:val="center"/>
        <w:rPr>
          <w:b/>
        </w:rPr>
      </w:pPr>
      <w:r w:rsidRPr="00677684">
        <w:rPr>
          <w:b/>
        </w:rPr>
        <w:t>Verschonungsregelung</w:t>
      </w:r>
    </w:p>
    <w:p w14:paraId="5F1D6CEE" w14:textId="65278D5A" w:rsidR="006108B5" w:rsidRPr="00677684" w:rsidRDefault="00A22DEF" w:rsidP="00677684">
      <w:pPr>
        <w:pStyle w:val="Listenabsatz"/>
        <w:numPr>
          <w:ilvl w:val="0"/>
          <w:numId w:val="1"/>
        </w:numPr>
        <w:tabs>
          <w:tab w:val="left" w:pos="476"/>
        </w:tabs>
        <w:spacing w:before="182" w:line="259" w:lineRule="auto"/>
        <w:ind w:right="570" w:hanging="476"/>
        <w:jc w:val="both"/>
      </w:pPr>
      <w:r w:rsidRPr="00677684">
        <w:t>Gemäß § 10 a Abs. 6 KAG wird festgelegt, dass Grundstücke, die zu Verkehrsanlagen</w:t>
      </w:r>
      <w:r w:rsidRPr="00677684">
        <w:rPr>
          <w:spacing w:val="-5"/>
        </w:rPr>
        <w:t xml:space="preserve"> </w:t>
      </w:r>
      <w:r w:rsidRPr="00677684">
        <w:t>Zufahrt</w:t>
      </w:r>
      <w:r w:rsidRPr="00677684">
        <w:rPr>
          <w:spacing w:val="-8"/>
        </w:rPr>
        <w:t xml:space="preserve"> </w:t>
      </w:r>
      <w:r w:rsidRPr="00677684">
        <w:t>oder</w:t>
      </w:r>
      <w:r w:rsidRPr="00677684">
        <w:rPr>
          <w:spacing w:val="-7"/>
        </w:rPr>
        <w:t xml:space="preserve"> </w:t>
      </w:r>
      <w:r w:rsidRPr="00677684">
        <w:t>Zugang</w:t>
      </w:r>
      <w:r w:rsidRPr="00677684">
        <w:rPr>
          <w:spacing w:val="-4"/>
        </w:rPr>
        <w:t xml:space="preserve"> </w:t>
      </w:r>
      <w:r w:rsidRPr="00677684">
        <w:t>nehmen</w:t>
      </w:r>
      <w:r w:rsidRPr="00677684">
        <w:rPr>
          <w:spacing w:val="-5"/>
        </w:rPr>
        <w:t xml:space="preserve"> </w:t>
      </w:r>
      <w:r w:rsidRPr="00677684">
        <w:t>können,</w:t>
      </w:r>
      <w:r w:rsidRPr="00677684">
        <w:rPr>
          <w:spacing w:val="-6"/>
        </w:rPr>
        <w:t xml:space="preserve"> </w:t>
      </w:r>
      <w:r w:rsidRPr="00677684">
        <w:t>die</w:t>
      </w:r>
      <w:r w:rsidRPr="00677684">
        <w:rPr>
          <w:spacing w:val="-5"/>
        </w:rPr>
        <w:t xml:space="preserve"> </w:t>
      </w:r>
      <w:r w:rsidRPr="00677684">
        <w:t>Gegenstand</w:t>
      </w:r>
      <w:r w:rsidRPr="00677684">
        <w:rPr>
          <w:spacing w:val="-5"/>
        </w:rPr>
        <w:t xml:space="preserve"> </w:t>
      </w:r>
      <w:r w:rsidRPr="00677684">
        <w:t>einer</w:t>
      </w:r>
      <w:r w:rsidRPr="00677684">
        <w:rPr>
          <w:spacing w:val="-6"/>
        </w:rPr>
        <w:t xml:space="preserve"> </w:t>
      </w:r>
      <w:r w:rsidRPr="00677684">
        <w:t>Erschließungsmaßnahme</w:t>
      </w:r>
      <w:r w:rsidRPr="00677684">
        <w:rPr>
          <w:spacing w:val="-9"/>
        </w:rPr>
        <w:t xml:space="preserve"> </w:t>
      </w:r>
      <w:r w:rsidRPr="00677684">
        <w:t>waren</w:t>
      </w:r>
      <w:r w:rsidRPr="00677684">
        <w:rPr>
          <w:spacing w:val="-9"/>
        </w:rPr>
        <w:t xml:space="preserve"> </w:t>
      </w:r>
      <w:r w:rsidRPr="00677684">
        <w:t>oder</w:t>
      </w:r>
      <w:r w:rsidRPr="00677684">
        <w:rPr>
          <w:spacing w:val="-11"/>
        </w:rPr>
        <w:t xml:space="preserve"> </w:t>
      </w:r>
      <w:r w:rsidRPr="00677684">
        <w:t>sind,</w:t>
      </w:r>
      <w:r w:rsidRPr="00677684">
        <w:rPr>
          <w:spacing w:val="-10"/>
        </w:rPr>
        <w:t xml:space="preserve"> </w:t>
      </w:r>
      <w:r w:rsidRPr="00677684">
        <w:t>generell</w:t>
      </w:r>
      <w:r w:rsidRPr="00677684">
        <w:rPr>
          <w:spacing w:val="-11"/>
        </w:rPr>
        <w:t xml:space="preserve"> </w:t>
      </w:r>
      <w:r w:rsidRPr="00677684">
        <w:t>für</w:t>
      </w:r>
      <w:r w:rsidRPr="00677684">
        <w:rPr>
          <w:spacing w:val="-11"/>
        </w:rPr>
        <w:t xml:space="preserve"> </w:t>
      </w:r>
      <w:r w:rsidRPr="00677684">
        <w:t>einen</w:t>
      </w:r>
      <w:r w:rsidRPr="00677684">
        <w:rPr>
          <w:spacing w:val="-8"/>
        </w:rPr>
        <w:t xml:space="preserve"> </w:t>
      </w:r>
      <w:r w:rsidRPr="00677684">
        <w:t>Zeitraum</w:t>
      </w:r>
      <w:r w:rsidRPr="00677684">
        <w:rPr>
          <w:spacing w:val="-8"/>
        </w:rPr>
        <w:t xml:space="preserve"> </w:t>
      </w:r>
      <w:r w:rsidRPr="00677684">
        <w:t>von</w:t>
      </w:r>
      <w:r w:rsidRPr="00677684">
        <w:rPr>
          <w:spacing w:val="-9"/>
        </w:rPr>
        <w:t xml:space="preserve"> </w:t>
      </w:r>
      <w:r w:rsidR="005D5AF6">
        <w:t>20</w:t>
      </w:r>
      <w:r w:rsidRPr="00677684">
        <w:rPr>
          <w:spacing w:val="-9"/>
        </w:rPr>
        <w:t xml:space="preserve"> </w:t>
      </w:r>
      <w:r w:rsidRPr="00677684">
        <w:t>Jahren,</w:t>
      </w:r>
      <w:r w:rsidRPr="00677684">
        <w:rPr>
          <w:spacing w:val="-10"/>
        </w:rPr>
        <w:t xml:space="preserve"> </w:t>
      </w:r>
      <w:r w:rsidRPr="00677684">
        <w:t>gerechnet ab</w:t>
      </w:r>
      <w:r w:rsidRPr="00677684">
        <w:rPr>
          <w:spacing w:val="-16"/>
        </w:rPr>
        <w:t xml:space="preserve"> </w:t>
      </w:r>
      <w:r w:rsidRPr="00677684">
        <w:t>dem</w:t>
      </w:r>
      <w:r w:rsidRPr="00677684">
        <w:rPr>
          <w:spacing w:val="-15"/>
        </w:rPr>
        <w:t xml:space="preserve"> </w:t>
      </w:r>
      <w:r w:rsidRPr="00677684">
        <w:t>Zeitpunkt</w:t>
      </w:r>
      <w:r w:rsidRPr="00677684">
        <w:rPr>
          <w:spacing w:val="-16"/>
        </w:rPr>
        <w:t xml:space="preserve"> </w:t>
      </w:r>
      <w:r w:rsidRPr="00677684">
        <w:t>des</w:t>
      </w:r>
      <w:r w:rsidRPr="00677684">
        <w:rPr>
          <w:spacing w:val="-19"/>
        </w:rPr>
        <w:t xml:space="preserve"> </w:t>
      </w:r>
      <w:r w:rsidRPr="00677684">
        <w:t>Entstehens</w:t>
      </w:r>
      <w:r w:rsidRPr="00677684">
        <w:rPr>
          <w:spacing w:val="-16"/>
        </w:rPr>
        <w:t xml:space="preserve"> </w:t>
      </w:r>
      <w:r w:rsidRPr="00677684">
        <w:t>der</w:t>
      </w:r>
      <w:r w:rsidRPr="00677684">
        <w:rPr>
          <w:spacing w:val="-18"/>
        </w:rPr>
        <w:t xml:space="preserve"> </w:t>
      </w:r>
      <w:r w:rsidRPr="00677684">
        <w:t>sachlichen</w:t>
      </w:r>
      <w:r w:rsidRPr="00677684">
        <w:rPr>
          <w:spacing w:val="-16"/>
        </w:rPr>
        <w:t xml:space="preserve"> </w:t>
      </w:r>
      <w:r w:rsidRPr="00677684">
        <w:t>Erschließungsbeitragspflicht,</w:t>
      </w:r>
      <w:r w:rsidRPr="00677684">
        <w:rPr>
          <w:spacing w:val="-16"/>
        </w:rPr>
        <w:t xml:space="preserve"> </w:t>
      </w:r>
      <w:r w:rsidRPr="00677684">
        <w:t>verschont</w:t>
      </w:r>
      <w:r w:rsidRPr="00677684">
        <w:rPr>
          <w:spacing w:val="-3"/>
        </w:rPr>
        <w:t xml:space="preserve"> </w:t>
      </w:r>
      <w:r w:rsidRPr="00677684">
        <w:t>werden.</w:t>
      </w:r>
    </w:p>
    <w:p w14:paraId="2BB2C9CD" w14:textId="6E2B52EA" w:rsidR="006108B5" w:rsidRPr="00677684" w:rsidRDefault="00A22DEF" w:rsidP="00677684">
      <w:pPr>
        <w:pStyle w:val="Listenabsatz"/>
        <w:numPr>
          <w:ilvl w:val="0"/>
          <w:numId w:val="1"/>
        </w:numPr>
        <w:tabs>
          <w:tab w:val="left" w:pos="476"/>
        </w:tabs>
        <w:spacing w:before="182" w:line="259" w:lineRule="auto"/>
        <w:ind w:right="570" w:hanging="476"/>
        <w:jc w:val="both"/>
      </w:pPr>
      <w:r w:rsidRPr="00677684">
        <w:t xml:space="preserve">Erfolgt die Herstellung der Verkehrsanlage aufgrund von Verträgen (insbes. Erschließungsverträgen), so wird gem. § 10 a Abs. 6 S. 1 KAG die Verschonungsdauer auf </w:t>
      </w:r>
      <w:r w:rsidR="005D5AF6">
        <w:t>20</w:t>
      </w:r>
      <w:r w:rsidRPr="00677684">
        <w:t xml:space="preserve"> Jahre festgesetzt. Die Verschonung gilt ab dem Zeitpunkt, in dem die Prüfung der Abrechnung der vertraglichen Leistung erfolgt ist.</w:t>
      </w:r>
    </w:p>
    <w:p w14:paraId="318F6116" w14:textId="4A05D2BC" w:rsidR="006108B5" w:rsidRPr="00677684" w:rsidRDefault="00A22DEF" w:rsidP="00677684">
      <w:pPr>
        <w:pStyle w:val="Listenabsatz"/>
        <w:numPr>
          <w:ilvl w:val="0"/>
          <w:numId w:val="1"/>
        </w:numPr>
        <w:tabs>
          <w:tab w:val="left" w:pos="476"/>
        </w:tabs>
        <w:spacing w:before="182" w:line="259" w:lineRule="auto"/>
        <w:ind w:right="570" w:hanging="476"/>
        <w:jc w:val="both"/>
      </w:pPr>
      <w:r w:rsidRPr="00677684">
        <w:t xml:space="preserve">Bei Grundstücken, bei denen in den vergangenen </w:t>
      </w:r>
      <w:r w:rsidR="005D5AF6">
        <w:t>20</w:t>
      </w:r>
      <w:r w:rsidRPr="00677684">
        <w:t xml:space="preserve"> Jahren Beiträge nach dem KAG i.V.m der zu dem Abrechnungszeitpunkt geltenden Satzung der </w:t>
      </w:r>
      <w:r w:rsidR="00601413">
        <w:t>Stadt Westerburg</w:t>
      </w:r>
      <w:r w:rsidRPr="00677684">
        <w:t xml:space="preserve"> über die Erhebung von einmaligen Beiträgen für öffentliche Verkehrsanlagen erhoben worden sind, wird gem. § 10 a Abs. 6 S. 1 KAG die Verschonungsdauer anhand der Höhe des festgesetzten Einmalbeitrags wie folgt festgesetzt:</w:t>
      </w:r>
    </w:p>
    <w:p w14:paraId="648C617B" w14:textId="77777777" w:rsidR="006108B5" w:rsidRPr="00677684" w:rsidRDefault="006108B5" w:rsidP="00677684">
      <w:pPr>
        <w:pStyle w:val="Textkrper"/>
        <w:spacing w:before="10"/>
        <w:ind w:left="0" w:right="570" w:firstLine="0"/>
        <w:rPr>
          <w:sz w:val="22"/>
          <w:szCs w:val="22"/>
        </w:rPr>
      </w:pPr>
    </w:p>
    <w:p w14:paraId="78849960" w14:textId="37BE705A" w:rsidR="006108B5" w:rsidRPr="00677684" w:rsidRDefault="00A22DEF" w:rsidP="00677684">
      <w:pPr>
        <w:pStyle w:val="Listenabsatz"/>
        <w:numPr>
          <w:ilvl w:val="1"/>
          <w:numId w:val="1"/>
        </w:numPr>
        <w:tabs>
          <w:tab w:val="left" w:pos="709"/>
          <w:tab w:val="left" w:pos="6663"/>
        </w:tabs>
        <w:spacing w:before="0"/>
        <w:ind w:right="570" w:hanging="361"/>
      </w:pPr>
      <w:r w:rsidRPr="00677684">
        <w:t>EUR</w:t>
      </w:r>
      <w:r w:rsidR="00677684">
        <w:t xml:space="preserve"> </w:t>
      </w:r>
      <w:r w:rsidRPr="00677684">
        <w:t xml:space="preserve"> 0,01 bis 1,00/m² gewichtete</w:t>
      </w:r>
      <w:r w:rsidRPr="00677684">
        <w:rPr>
          <w:spacing w:val="-16"/>
        </w:rPr>
        <w:t xml:space="preserve"> </w:t>
      </w:r>
      <w:r w:rsidRPr="00677684">
        <w:t>Grundstücksfläche</w:t>
      </w:r>
      <w:r w:rsidRPr="00677684">
        <w:rPr>
          <w:spacing w:val="17"/>
        </w:rPr>
        <w:t xml:space="preserve"> </w:t>
      </w:r>
      <w:r w:rsidRPr="00677684">
        <w:t>–</w:t>
      </w:r>
      <w:r w:rsidRPr="00677684">
        <w:tab/>
      </w:r>
      <w:r w:rsidR="00677684">
        <w:t xml:space="preserve"> </w:t>
      </w:r>
      <w:r w:rsidRPr="00677684">
        <w:t>1</w:t>
      </w:r>
      <w:r w:rsidRPr="00677684">
        <w:rPr>
          <w:spacing w:val="1"/>
        </w:rPr>
        <w:t xml:space="preserve"> </w:t>
      </w:r>
      <w:r w:rsidRPr="00677684">
        <w:t>Jahr</w:t>
      </w:r>
    </w:p>
    <w:p w14:paraId="11FCF515" w14:textId="1FE8FE72" w:rsidR="006108B5" w:rsidRPr="00677684" w:rsidRDefault="00A22DEF" w:rsidP="00677684">
      <w:pPr>
        <w:pStyle w:val="Listenabsatz"/>
        <w:numPr>
          <w:ilvl w:val="1"/>
          <w:numId w:val="1"/>
        </w:numPr>
        <w:tabs>
          <w:tab w:val="left" w:pos="709"/>
          <w:tab w:val="left" w:pos="6663"/>
        </w:tabs>
        <w:spacing w:before="21"/>
        <w:ind w:right="570"/>
      </w:pPr>
      <w:r w:rsidRPr="00677684">
        <w:t xml:space="preserve">EUR </w:t>
      </w:r>
      <w:r w:rsidR="00677684">
        <w:t xml:space="preserve"> </w:t>
      </w:r>
      <w:r w:rsidRPr="00677684">
        <w:t>1,01 bis 2,00/m² gewichtete</w:t>
      </w:r>
      <w:r w:rsidRPr="00677684">
        <w:rPr>
          <w:spacing w:val="-16"/>
        </w:rPr>
        <w:t xml:space="preserve"> </w:t>
      </w:r>
      <w:r w:rsidRPr="00677684">
        <w:t>Grundstücksfläche</w:t>
      </w:r>
      <w:r w:rsidRPr="00677684">
        <w:rPr>
          <w:spacing w:val="17"/>
        </w:rPr>
        <w:t xml:space="preserve"> </w:t>
      </w:r>
      <w:r w:rsidRPr="00677684">
        <w:t>–</w:t>
      </w:r>
      <w:r w:rsidRPr="00677684">
        <w:tab/>
      </w:r>
      <w:r w:rsidR="00677684">
        <w:t xml:space="preserve"> </w:t>
      </w:r>
      <w:r w:rsidRPr="00677684">
        <w:t>2 Jahre</w:t>
      </w:r>
    </w:p>
    <w:p w14:paraId="3052EE30" w14:textId="48761569" w:rsidR="006108B5" w:rsidRPr="00677684" w:rsidRDefault="00A22DEF" w:rsidP="00677684">
      <w:pPr>
        <w:pStyle w:val="Listenabsatz"/>
        <w:numPr>
          <w:ilvl w:val="1"/>
          <w:numId w:val="1"/>
        </w:numPr>
        <w:tabs>
          <w:tab w:val="left" w:pos="709"/>
          <w:tab w:val="left" w:pos="6663"/>
        </w:tabs>
        <w:ind w:right="570"/>
      </w:pPr>
      <w:r w:rsidRPr="00677684">
        <w:t xml:space="preserve">EUR </w:t>
      </w:r>
      <w:r w:rsidR="00677684">
        <w:t xml:space="preserve"> </w:t>
      </w:r>
      <w:r w:rsidRPr="00677684">
        <w:t>2,01 bis 3,00/m² gewichtete</w:t>
      </w:r>
      <w:r w:rsidRPr="00677684">
        <w:rPr>
          <w:spacing w:val="-15"/>
        </w:rPr>
        <w:t xml:space="preserve"> </w:t>
      </w:r>
      <w:r w:rsidRPr="00677684">
        <w:t>Grundstücksfläche</w:t>
      </w:r>
      <w:r w:rsidRPr="00677684">
        <w:rPr>
          <w:spacing w:val="17"/>
        </w:rPr>
        <w:t xml:space="preserve"> </w:t>
      </w:r>
      <w:r w:rsidRPr="00677684">
        <w:t>–</w:t>
      </w:r>
      <w:r w:rsidRPr="00677684">
        <w:tab/>
      </w:r>
      <w:r w:rsidR="00677684">
        <w:t xml:space="preserve"> </w:t>
      </w:r>
      <w:r w:rsidRPr="00677684">
        <w:t>3 Jahre</w:t>
      </w:r>
    </w:p>
    <w:p w14:paraId="78886CD1" w14:textId="7520273F" w:rsidR="006108B5" w:rsidRPr="00677684" w:rsidRDefault="00A22DEF" w:rsidP="00677684">
      <w:pPr>
        <w:pStyle w:val="Listenabsatz"/>
        <w:numPr>
          <w:ilvl w:val="1"/>
          <w:numId w:val="1"/>
        </w:numPr>
        <w:tabs>
          <w:tab w:val="left" w:pos="709"/>
          <w:tab w:val="left" w:pos="6663"/>
        </w:tabs>
        <w:spacing w:before="0"/>
        <w:ind w:right="570" w:hanging="361"/>
      </w:pPr>
      <w:r w:rsidRPr="00677684">
        <w:t xml:space="preserve">EUR </w:t>
      </w:r>
      <w:r w:rsidR="00677684">
        <w:t xml:space="preserve"> </w:t>
      </w:r>
      <w:r w:rsidRPr="00677684">
        <w:t>3,01 bis 4,00/m² gewichtete Grundstücksfläche –</w:t>
      </w:r>
      <w:r w:rsidRPr="00677684">
        <w:tab/>
      </w:r>
      <w:r w:rsidR="00677684">
        <w:t xml:space="preserve"> </w:t>
      </w:r>
      <w:r w:rsidRPr="00677684">
        <w:t>4 Jahre</w:t>
      </w:r>
    </w:p>
    <w:p w14:paraId="24C395C6" w14:textId="6D8E8E60" w:rsidR="006108B5" w:rsidRPr="00677684" w:rsidRDefault="00A22DEF" w:rsidP="00677684">
      <w:pPr>
        <w:pStyle w:val="Listenabsatz"/>
        <w:numPr>
          <w:ilvl w:val="1"/>
          <w:numId w:val="1"/>
        </w:numPr>
        <w:tabs>
          <w:tab w:val="left" w:pos="709"/>
          <w:tab w:val="left" w:pos="6663"/>
        </w:tabs>
        <w:spacing w:before="0"/>
        <w:ind w:right="570" w:hanging="361"/>
      </w:pPr>
      <w:r w:rsidRPr="00677684">
        <w:t xml:space="preserve">EUR </w:t>
      </w:r>
      <w:r w:rsidR="00677684">
        <w:t xml:space="preserve"> </w:t>
      </w:r>
      <w:r w:rsidRPr="00677684">
        <w:t>4,01 bis 5,00/m² gewichtete Grundstücksfläche –</w:t>
      </w:r>
      <w:r w:rsidRPr="00677684">
        <w:tab/>
      </w:r>
      <w:r w:rsidR="00677684">
        <w:t xml:space="preserve"> </w:t>
      </w:r>
      <w:r w:rsidRPr="00677684">
        <w:t>5 Jahre</w:t>
      </w:r>
    </w:p>
    <w:p w14:paraId="7E558C8A" w14:textId="10F8E7B2" w:rsidR="006108B5" w:rsidRPr="00677684" w:rsidRDefault="00A22DEF" w:rsidP="00677684">
      <w:pPr>
        <w:pStyle w:val="Listenabsatz"/>
        <w:numPr>
          <w:ilvl w:val="1"/>
          <w:numId w:val="1"/>
        </w:numPr>
        <w:tabs>
          <w:tab w:val="left" w:pos="709"/>
          <w:tab w:val="left" w:pos="6663"/>
        </w:tabs>
        <w:spacing w:before="0"/>
        <w:ind w:right="570" w:hanging="361"/>
      </w:pPr>
      <w:r w:rsidRPr="00677684">
        <w:t xml:space="preserve">EUR </w:t>
      </w:r>
      <w:r w:rsidR="00677684">
        <w:t xml:space="preserve"> </w:t>
      </w:r>
      <w:r w:rsidRPr="00677684">
        <w:t>5,01 bis 6,00/m² gewichtete Grundstücksfläche –</w:t>
      </w:r>
      <w:r w:rsidRPr="00677684">
        <w:tab/>
      </w:r>
      <w:r w:rsidR="00677684">
        <w:t xml:space="preserve"> </w:t>
      </w:r>
      <w:r w:rsidRPr="00677684">
        <w:t>6 Jahre</w:t>
      </w:r>
    </w:p>
    <w:p w14:paraId="32FD9281" w14:textId="37DD6404" w:rsidR="006108B5" w:rsidRPr="00677684" w:rsidRDefault="00A22DEF" w:rsidP="00677684">
      <w:pPr>
        <w:pStyle w:val="Listenabsatz"/>
        <w:numPr>
          <w:ilvl w:val="1"/>
          <w:numId w:val="1"/>
        </w:numPr>
        <w:tabs>
          <w:tab w:val="left" w:pos="709"/>
          <w:tab w:val="left" w:pos="6663"/>
        </w:tabs>
        <w:spacing w:before="0"/>
        <w:ind w:right="570" w:hanging="361"/>
      </w:pPr>
      <w:r w:rsidRPr="00677684">
        <w:t xml:space="preserve">EUR </w:t>
      </w:r>
      <w:r w:rsidR="00677684">
        <w:t xml:space="preserve"> </w:t>
      </w:r>
      <w:r w:rsidRPr="00677684">
        <w:t>6,01 bis 7,00/m² gewichtete Grundstücksfläche –</w:t>
      </w:r>
      <w:r w:rsidRPr="00677684">
        <w:tab/>
      </w:r>
      <w:r w:rsidR="00677684">
        <w:t xml:space="preserve"> </w:t>
      </w:r>
      <w:r w:rsidRPr="00677684">
        <w:t>7 Jahre</w:t>
      </w:r>
    </w:p>
    <w:p w14:paraId="44EA28D1" w14:textId="4352CAD0" w:rsidR="006108B5" w:rsidRPr="00677684" w:rsidRDefault="00A22DEF" w:rsidP="00677684">
      <w:pPr>
        <w:pStyle w:val="Listenabsatz"/>
        <w:numPr>
          <w:ilvl w:val="1"/>
          <w:numId w:val="1"/>
        </w:numPr>
        <w:tabs>
          <w:tab w:val="left" w:pos="709"/>
          <w:tab w:val="left" w:pos="6663"/>
        </w:tabs>
        <w:spacing w:before="0"/>
        <w:ind w:right="570" w:hanging="361"/>
      </w:pPr>
      <w:r w:rsidRPr="00677684">
        <w:t xml:space="preserve">EUR </w:t>
      </w:r>
      <w:r w:rsidR="00677684">
        <w:t xml:space="preserve"> </w:t>
      </w:r>
      <w:r w:rsidRPr="00677684">
        <w:t>7,01 bis 8,00/m² gewichtete Grundstücksfläche –</w:t>
      </w:r>
      <w:r w:rsidRPr="00677684">
        <w:tab/>
      </w:r>
      <w:r w:rsidR="00677684">
        <w:t xml:space="preserve"> </w:t>
      </w:r>
      <w:r w:rsidRPr="00677684">
        <w:t>8 Jahre</w:t>
      </w:r>
    </w:p>
    <w:p w14:paraId="662CBE7A" w14:textId="5A3B73D7" w:rsidR="006108B5" w:rsidRPr="00677684" w:rsidRDefault="00A22DEF" w:rsidP="00677684">
      <w:pPr>
        <w:pStyle w:val="Listenabsatz"/>
        <w:numPr>
          <w:ilvl w:val="1"/>
          <w:numId w:val="1"/>
        </w:numPr>
        <w:tabs>
          <w:tab w:val="left" w:pos="709"/>
          <w:tab w:val="left" w:pos="6663"/>
          <w:tab w:val="left" w:pos="7230"/>
        </w:tabs>
        <w:spacing w:before="0"/>
        <w:ind w:right="570" w:hanging="361"/>
      </w:pPr>
      <w:r w:rsidRPr="00677684">
        <w:t>EUR  8,01 bis 9,00/m² gewichtete Grundstücksfläche –</w:t>
      </w:r>
      <w:r w:rsidRPr="00677684">
        <w:tab/>
      </w:r>
      <w:r w:rsidR="00677684">
        <w:t xml:space="preserve"> </w:t>
      </w:r>
      <w:r w:rsidRPr="00677684">
        <w:t>9 Jahre</w:t>
      </w:r>
    </w:p>
    <w:p w14:paraId="5D944561" w14:textId="77777777" w:rsidR="006108B5" w:rsidRPr="00677684" w:rsidRDefault="00A22DEF" w:rsidP="00677684">
      <w:pPr>
        <w:pStyle w:val="Listenabsatz"/>
        <w:numPr>
          <w:ilvl w:val="1"/>
          <w:numId w:val="1"/>
        </w:numPr>
        <w:tabs>
          <w:tab w:val="left" w:pos="709"/>
          <w:tab w:val="left" w:pos="6663"/>
        </w:tabs>
        <w:spacing w:before="0"/>
        <w:ind w:right="570" w:hanging="361"/>
      </w:pPr>
      <w:r w:rsidRPr="00677684">
        <w:t>EUR  9,01 bis 10,00/m² gewichtete Grundstücksfläche –</w:t>
      </w:r>
      <w:r w:rsidRPr="00677684">
        <w:tab/>
        <w:t>10 Jahre</w:t>
      </w:r>
    </w:p>
    <w:p w14:paraId="1C368C22" w14:textId="77777777" w:rsidR="006108B5" w:rsidRPr="00677684" w:rsidRDefault="00A22DEF" w:rsidP="00677684">
      <w:pPr>
        <w:pStyle w:val="Listenabsatz"/>
        <w:numPr>
          <w:ilvl w:val="1"/>
          <w:numId w:val="1"/>
        </w:numPr>
        <w:tabs>
          <w:tab w:val="left" w:pos="709"/>
          <w:tab w:val="left" w:pos="6663"/>
        </w:tabs>
        <w:spacing w:before="0"/>
        <w:ind w:right="570" w:hanging="361"/>
      </w:pPr>
      <w:r w:rsidRPr="00677684">
        <w:t>EUR 10,01 bis 11,00/m² gewichtete Grundstücksfläche –</w:t>
      </w:r>
      <w:r w:rsidRPr="00677684">
        <w:tab/>
        <w:t>11 Jahre</w:t>
      </w:r>
    </w:p>
    <w:p w14:paraId="757F3B7A" w14:textId="77777777" w:rsidR="006108B5" w:rsidRPr="00677684" w:rsidRDefault="00A22DEF" w:rsidP="00677684">
      <w:pPr>
        <w:pStyle w:val="Listenabsatz"/>
        <w:numPr>
          <w:ilvl w:val="1"/>
          <w:numId w:val="1"/>
        </w:numPr>
        <w:tabs>
          <w:tab w:val="left" w:pos="709"/>
          <w:tab w:val="left" w:pos="6663"/>
        </w:tabs>
        <w:spacing w:before="0"/>
        <w:ind w:right="570" w:hanging="361"/>
      </w:pPr>
      <w:r w:rsidRPr="00677684">
        <w:t>EUR 11,01 bis 12,00/m² gewichtete Grundstücksfläche –</w:t>
      </w:r>
      <w:r w:rsidRPr="00677684">
        <w:tab/>
        <w:t>12 Jahre</w:t>
      </w:r>
    </w:p>
    <w:p w14:paraId="2D19B13B" w14:textId="77777777" w:rsidR="006108B5" w:rsidRPr="00677684" w:rsidRDefault="00A22DEF" w:rsidP="00677684">
      <w:pPr>
        <w:pStyle w:val="Listenabsatz"/>
        <w:numPr>
          <w:ilvl w:val="1"/>
          <w:numId w:val="1"/>
        </w:numPr>
        <w:tabs>
          <w:tab w:val="left" w:pos="709"/>
          <w:tab w:val="left" w:pos="6663"/>
        </w:tabs>
        <w:spacing w:before="0"/>
        <w:ind w:right="570" w:hanging="361"/>
      </w:pPr>
      <w:r w:rsidRPr="00677684">
        <w:t>EUR 12,01 bis 13,00/m² gewichtete Grundstücksfläche –</w:t>
      </w:r>
      <w:r w:rsidRPr="00677684">
        <w:tab/>
        <w:t>13 Jahre</w:t>
      </w:r>
    </w:p>
    <w:p w14:paraId="4DB0EC4A" w14:textId="77777777" w:rsidR="006108B5" w:rsidRPr="00677684" w:rsidRDefault="00A22DEF" w:rsidP="00677684">
      <w:pPr>
        <w:pStyle w:val="Listenabsatz"/>
        <w:numPr>
          <w:ilvl w:val="1"/>
          <w:numId w:val="1"/>
        </w:numPr>
        <w:tabs>
          <w:tab w:val="left" w:pos="709"/>
          <w:tab w:val="left" w:pos="6663"/>
        </w:tabs>
        <w:spacing w:before="0"/>
        <w:ind w:right="570" w:hanging="361"/>
      </w:pPr>
      <w:r w:rsidRPr="00677684">
        <w:t>EUR 13,01 bis 14,00/m² gewichtete Grundstücksfläche –</w:t>
      </w:r>
      <w:r w:rsidRPr="00677684">
        <w:tab/>
        <w:t>14 Jahre</w:t>
      </w:r>
    </w:p>
    <w:p w14:paraId="1765B424" w14:textId="4CD3AC68" w:rsidR="006108B5" w:rsidRDefault="00A22DEF" w:rsidP="00677684">
      <w:pPr>
        <w:pStyle w:val="Listenabsatz"/>
        <w:numPr>
          <w:ilvl w:val="1"/>
          <w:numId w:val="1"/>
        </w:numPr>
        <w:tabs>
          <w:tab w:val="left" w:pos="709"/>
          <w:tab w:val="left" w:pos="6663"/>
        </w:tabs>
        <w:spacing w:before="0"/>
        <w:ind w:right="570" w:hanging="361"/>
      </w:pPr>
      <w:r w:rsidRPr="00677684">
        <w:t>EUR 14,01 bis 15,00/m² gewichtete Grundstücksfläche –</w:t>
      </w:r>
      <w:r w:rsidRPr="00677684">
        <w:tab/>
        <w:t>15 Jahre</w:t>
      </w:r>
    </w:p>
    <w:p w14:paraId="3E6C6EA5" w14:textId="2F70F3D1" w:rsidR="00677684" w:rsidRDefault="00677684" w:rsidP="00677684">
      <w:pPr>
        <w:pStyle w:val="Listenabsatz"/>
        <w:numPr>
          <w:ilvl w:val="1"/>
          <w:numId w:val="1"/>
        </w:numPr>
        <w:tabs>
          <w:tab w:val="left" w:pos="709"/>
          <w:tab w:val="left" w:pos="6663"/>
        </w:tabs>
        <w:spacing w:before="0"/>
        <w:ind w:right="570" w:hanging="361"/>
      </w:pPr>
      <w:r w:rsidRPr="00677684">
        <w:t>EUR 1</w:t>
      </w:r>
      <w:r>
        <w:t>5</w:t>
      </w:r>
      <w:r w:rsidRPr="00677684">
        <w:t>,01 bis 1</w:t>
      </w:r>
      <w:r>
        <w:t>6</w:t>
      </w:r>
      <w:r w:rsidRPr="00677684">
        <w:t>,00/m² gewichtete Grundstücksfläche –</w:t>
      </w:r>
      <w:r w:rsidRPr="00677684">
        <w:tab/>
        <w:t>1</w:t>
      </w:r>
      <w:r>
        <w:t>6</w:t>
      </w:r>
      <w:r w:rsidRPr="00677684">
        <w:t xml:space="preserve"> Jahre</w:t>
      </w:r>
    </w:p>
    <w:p w14:paraId="60DD8D27" w14:textId="372AC50D" w:rsidR="00677684" w:rsidRDefault="00677684" w:rsidP="00677684">
      <w:pPr>
        <w:pStyle w:val="Listenabsatz"/>
        <w:numPr>
          <w:ilvl w:val="1"/>
          <w:numId w:val="1"/>
        </w:numPr>
        <w:tabs>
          <w:tab w:val="left" w:pos="709"/>
          <w:tab w:val="left" w:pos="6663"/>
        </w:tabs>
        <w:spacing w:before="0"/>
        <w:ind w:right="570" w:hanging="361"/>
      </w:pPr>
      <w:r w:rsidRPr="00677684">
        <w:t>EUR 1</w:t>
      </w:r>
      <w:r>
        <w:t>6</w:t>
      </w:r>
      <w:r w:rsidRPr="00677684">
        <w:t>,01 bis 1</w:t>
      </w:r>
      <w:r>
        <w:t>7</w:t>
      </w:r>
      <w:r w:rsidRPr="00677684">
        <w:t>,00/m² gewichtete Grundstücksfläche –</w:t>
      </w:r>
      <w:r w:rsidRPr="00677684">
        <w:tab/>
        <w:t>1</w:t>
      </w:r>
      <w:r>
        <w:t>7</w:t>
      </w:r>
      <w:r w:rsidRPr="00677684">
        <w:t xml:space="preserve"> Jahre</w:t>
      </w:r>
    </w:p>
    <w:p w14:paraId="2E7CE983" w14:textId="06686761" w:rsidR="00677684" w:rsidRDefault="00677684" w:rsidP="00677684">
      <w:pPr>
        <w:pStyle w:val="Listenabsatz"/>
        <w:numPr>
          <w:ilvl w:val="1"/>
          <w:numId w:val="1"/>
        </w:numPr>
        <w:tabs>
          <w:tab w:val="left" w:pos="709"/>
          <w:tab w:val="left" w:pos="6663"/>
        </w:tabs>
        <w:spacing w:before="0"/>
        <w:ind w:right="570" w:hanging="361"/>
      </w:pPr>
      <w:r w:rsidRPr="00677684">
        <w:t>EUR 1</w:t>
      </w:r>
      <w:r>
        <w:t>7</w:t>
      </w:r>
      <w:r w:rsidRPr="00677684">
        <w:t>,01 bis 1</w:t>
      </w:r>
      <w:r>
        <w:t>8</w:t>
      </w:r>
      <w:r w:rsidRPr="00677684">
        <w:t>,00/m² gewichtete Grundstücksfläche –</w:t>
      </w:r>
      <w:r w:rsidRPr="00677684">
        <w:tab/>
        <w:t>1</w:t>
      </w:r>
      <w:r>
        <w:t>8</w:t>
      </w:r>
      <w:r w:rsidRPr="00677684">
        <w:t xml:space="preserve"> Jahre</w:t>
      </w:r>
    </w:p>
    <w:p w14:paraId="0916FFFD" w14:textId="69EA23FC" w:rsidR="00677684" w:rsidRDefault="00677684" w:rsidP="00677684">
      <w:pPr>
        <w:pStyle w:val="Listenabsatz"/>
        <w:numPr>
          <w:ilvl w:val="1"/>
          <w:numId w:val="1"/>
        </w:numPr>
        <w:tabs>
          <w:tab w:val="left" w:pos="709"/>
          <w:tab w:val="left" w:pos="6663"/>
        </w:tabs>
        <w:spacing w:before="0"/>
        <w:ind w:right="570" w:hanging="361"/>
      </w:pPr>
      <w:r w:rsidRPr="00677684">
        <w:t>EUR 1</w:t>
      </w:r>
      <w:r>
        <w:t>8</w:t>
      </w:r>
      <w:r w:rsidRPr="00677684">
        <w:t>,01 bis 1</w:t>
      </w:r>
      <w:r>
        <w:t>9</w:t>
      </w:r>
      <w:r w:rsidRPr="00677684">
        <w:t>,00/m² gewichtete Grundstücksfläche –</w:t>
      </w:r>
      <w:r w:rsidRPr="00677684">
        <w:tab/>
        <w:t>1</w:t>
      </w:r>
      <w:r>
        <w:t>9</w:t>
      </w:r>
      <w:r w:rsidRPr="00677684">
        <w:t xml:space="preserve"> Jahre</w:t>
      </w:r>
    </w:p>
    <w:p w14:paraId="526745A1" w14:textId="220BC50B" w:rsidR="00677684" w:rsidRDefault="00677684" w:rsidP="00677684">
      <w:pPr>
        <w:pStyle w:val="Listenabsatz"/>
        <w:numPr>
          <w:ilvl w:val="1"/>
          <w:numId w:val="1"/>
        </w:numPr>
        <w:tabs>
          <w:tab w:val="left" w:pos="709"/>
          <w:tab w:val="left" w:pos="6663"/>
        </w:tabs>
        <w:spacing w:before="0"/>
        <w:ind w:right="570" w:hanging="361"/>
      </w:pPr>
      <w:r w:rsidRPr="00677684">
        <w:t>EUR 1</w:t>
      </w:r>
      <w:r>
        <w:t>9</w:t>
      </w:r>
      <w:r w:rsidRPr="00677684">
        <w:t xml:space="preserve">,01 bis </w:t>
      </w:r>
      <w:r>
        <w:t>20</w:t>
      </w:r>
      <w:r w:rsidRPr="00677684">
        <w:t>,00/m² gewichtete Grundstücksfläche –</w:t>
      </w:r>
      <w:r w:rsidRPr="00677684">
        <w:tab/>
      </w:r>
      <w:r>
        <w:t>20</w:t>
      </w:r>
      <w:r w:rsidRPr="00677684">
        <w:t xml:space="preserve"> Jahre</w:t>
      </w:r>
    </w:p>
    <w:p w14:paraId="6F89E58C" w14:textId="77777777" w:rsidR="00677684" w:rsidRPr="00677684" w:rsidRDefault="00677684" w:rsidP="00677684">
      <w:pPr>
        <w:pStyle w:val="Listenabsatz"/>
        <w:tabs>
          <w:tab w:val="left" w:pos="835"/>
          <w:tab w:val="left" w:pos="836"/>
          <w:tab w:val="left" w:pos="7195"/>
        </w:tabs>
        <w:spacing w:before="0"/>
        <w:ind w:right="570" w:firstLine="0"/>
      </w:pPr>
    </w:p>
    <w:p w14:paraId="33BC9A14" w14:textId="4603BDF0" w:rsidR="006108B5" w:rsidRPr="00677684" w:rsidRDefault="00A22DEF" w:rsidP="00677684">
      <w:pPr>
        <w:pStyle w:val="Textkrper"/>
        <w:spacing w:before="180" w:line="259" w:lineRule="auto"/>
        <w:ind w:left="476" w:right="570" w:firstLine="0"/>
        <w:jc w:val="both"/>
        <w:rPr>
          <w:sz w:val="22"/>
          <w:szCs w:val="22"/>
        </w:rPr>
      </w:pPr>
      <w:r w:rsidRPr="00677684">
        <w:rPr>
          <w:sz w:val="22"/>
          <w:szCs w:val="22"/>
        </w:rPr>
        <w:t>Die Verschonung beginnt zum Zeitpunkt des Entstehens der sachlichen Beitragspflicht. Soweit der einmalige Beitrag abgelöst wurde, gilt abweichend von Satz 2 der Zeitpunkt des Vertragsabschlusses.</w:t>
      </w:r>
    </w:p>
    <w:p w14:paraId="656FB24D" w14:textId="77777777" w:rsidR="006108B5" w:rsidRPr="00677684" w:rsidRDefault="006108B5" w:rsidP="00677684">
      <w:pPr>
        <w:pStyle w:val="Textkrper"/>
        <w:ind w:left="0" w:right="570" w:firstLine="0"/>
        <w:rPr>
          <w:sz w:val="22"/>
          <w:szCs w:val="22"/>
        </w:rPr>
      </w:pPr>
    </w:p>
    <w:p w14:paraId="0918274A" w14:textId="77777777" w:rsidR="006108B5" w:rsidRPr="00677684" w:rsidRDefault="006108B5" w:rsidP="00677684">
      <w:pPr>
        <w:pStyle w:val="Textkrper"/>
        <w:spacing w:before="8"/>
        <w:ind w:left="0" w:right="570" w:firstLine="0"/>
        <w:rPr>
          <w:sz w:val="22"/>
          <w:szCs w:val="22"/>
        </w:rPr>
      </w:pPr>
    </w:p>
    <w:p w14:paraId="7EA80A43" w14:textId="77777777" w:rsidR="006108B5" w:rsidRPr="00677684" w:rsidRDefault="00A22DEF" w:rsidP="00677684">
      <w:pPr>
        <w:pStyle w:val="berschrift1"/>
        <w:spacing w:before="92"/>
        <w:ind w:right="570"/>
        <w:rPr>
          <w:sz w:val="22"/>
          <w:szCs w:val="22"/>
        </w:rPr>
      </w:pPr>
      <w:r w:rsidRPr="00677684">
        <w:rPr>
          <w:sz w:val="22"/>
          <w:szCs w:val="22"/>
        </w:rPr>
        <w:t>§ 2</w:t>
      </w:r>
    </w:p>
    <w:p w14:paraId="0F9E9804" w14:textId="77777777" w:rsidR="006108B5" w:rsidRPr="00677684" w:rsidRDefault="00A22DEF" w:rsidP="00677684">
      <w:pPr>
        <w:spacing w:before="22"/>
        <w:ind w:left="123" w:right="570"/>
        <w:jc w:val="center"/>
        <w:rPr>
          <w:b/>
        </w:rPr>
      </w:pPr>
      <w:r w:rsidRPr="00677684">
        <w:rPr>
          <w:b/>
        </w:rPr>
        <w:t>Inkrafttreten</w:t>
      </w:r>
    </w:p>
    <w:p w14:paraId="523A85AD" w14:textId="6E52B13B" w:rsidR="006108B5" w:rsidRDefault="00A22DEF" w:rsidP="00677684">
      <w:pPr>
        <w:pStyle w:val="Textkrper"/>
        <w:spacing w:before="183"/>
        <w:ind w:left="115" w:right="570" w:firstLine="0"/>
        <w:rPr>
          <w:sz w:val="22"/>
          <w:szCs w:val="22"/>
        </w:rPr>
      </w:pPr>
      <w:r w:rsidRPr="00677684">
        <w:rPr>
          <w:sz w:val="22"/>
          <w:szCs w:val="22"/>
        </w:rPr>
        <w:t>Die Satzung tritt am Tag nach ihrer Bekanntmachung in Kraft.</w:t>
      </w:r>
    </w:p>
    <w:p w14:paraId="75660FB8" w14:textId="6775FB1B" w:rsidR="00677684" w:rsidRDefault="00677684" w:rsidP="00677684">
      <w:pPr>
        <w:pStyle w:val="Textkrper"/>
        <w:spacing w:before="183"/>
        <w:ind w:left="115" w:right="570" w:firstLine="0"/>
        <w:rPr>
          <w:sz w:val="22"/>
          <w:szCs w:val="22"/>
        </w:rPr>
      </w:pPr>
    </w:p>
    <w:p w14:paraId="28D9661F" w14:textId="597A134A" w:rsidR="00677684" w:rsidRDefault="00601413" w:rsidP="00677684">
      <w:pPr>
        <w:pStyle w:val="Textkrper"/>
        <w:spacing w:before="183"/>
        <w:ind w:left="115" w:right="570" w:firstLine="0"/>
        <w:rPr>
          <w:sz w:val="22"/>
          <w:szCs w:val="22"/>
        </w:rPr>
      </w:pPr>
      <w:r>
        <w:rPr>
          <w:sz w:val="22"/>
          <w:szCs w:val="22"/>
        </w:rPr>
        <w:t>Westerburg</w:t>
      </w:r>
      <w:r w:rsidR="00677684">
        <w:rPr>
          <w:sz w:val="22"/>
          <w:szCs w:val="22"/>
        </w:rPr>
        <w:t xml:space="preserve">, den </w:t>
      </w:r>
      <w:r w:rsidR="00EB7798">
        <w:rPr>
          <w:sz w:val="22"/>
          <w:szCs w:val="22"/>
        </w:rPr>
        <w:t>07.12.2023</w:t>
      </w:r>
    </w:p>
    <w:p w14:paraId="7CF82A98" w14:textId="5786F8DC" w:rsidR="00677684" w:rsidRDefault="00677684" w:rsidP="00677684">
      <w:pPr>
        <w:pStyle w:val="Textkrper"/>
        <w:spacing w:before="183"/>
        <w:ind w:left="115" w:right="570" w:firstLine="0"/>
        <w:rPr>
          <w:sz w:val="22"/>
          <w:szCs w:val="22"/>
        </w:rPr>
      </w:pPr>
    </w:p>
    <w:p w14:paraId="700602A2" w14:textId="10076B3D" w:rsidR="00677684" w:rsidRDefault="00677684" w:rsidP="00677684">
      <w:pPr>
        <w:pStyle w:val="Textkrper"/>
        <w:spacing w:before="183"/>
        <w:ind w:left="115" w:right="570" w:firstLine="0"/>
        <w:rPr>
          <w:sz w:val="22"/>
          <w:szCs w:val="22"/>
        </w:rPr>
      </w:pPr>
      <w:r>
        <w:rPr>
          <w:sz w:val="22"/>
          <w:szCs w:val="22"/>
        </w:rPr>
        <w:t xml:space="preserve">gez. </w:t>
      </w:r>
      <w:r w:rsidR="00601413">
        <w:rPr>
          <w:sz w:val="22"/>
          <w:szCs w:val="22"/>
        </w:rPr>
        <w:t>Janick Pape</w:t>
      </w:r>
    </w:p>
    <w:p w14:paraId="3023E928" w14:textId="6CB47EDE" w:rsidR="00677684" w:rsidRDefault="00677684" w:rsidP="00677684">
      <w:pPr>
        <w:pStyle w:val="Textkrper"/>
        <w:spacing w:before="183"/>
        <w:ind w:left="115" w:right="570" w:firstLine="0"/>
        <w:rPr>
          <w:sz w:val="22"/>
          <w:szCs w:val="22"/>
        </w:rPr>
      </w:pPr>
    </w:p>
    <w:p w14:paraId="6373F498" w14:textId="727B656D" w:rsidR="00677684" w:rsidRDefault="00677684" w:rsidP="00677684">
      <w:pPr>
        <w:pStyle w:val="Textkrper"/>
        <w:spacing w:before="183"/>
        <w:ind w:left="115" w:right="570" w:firstLine="0"/>
        <w:rPr>
          <w:sz w:val="22"/>
          <w:szCs w:val="22"/>
        </w:rPr>
      </w:pPr>
    </w:p>
    <w:p w14:paraId="02EEEA42" w14:textId="01BF7678" w:rsidR="00677684" w:rsidRDefault="00677684" w:rsidP="00677684">
      <w:pPr>
        <w:pStyle w:val="Textkrper"/>
        <w:spacing w:before="183"/>
        <w:ind w:left="115" w:right="570" w:firstLine="0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(Siegel)</w:t>
      </w:r>
    </w:p>
    <w:p w14:paraId="293079E4" w14:textId="09E5ACED" w:rsidR="00677684" w:rsidRPr="00677684" w:rsidRDefault="00601413" w:rsidP="00677684">
      <w:pPr>
        <w:pStyle w:val="Textkrper"/>
        <w:spacing w:before="183"/>
        <w:ind w:left="115" w:right="570" w:firstLine="0"/>
        <w:rPr>
          <w:sz w:val="22"/>
          <w:szCs w:val="22"/>
        </w:rPr>
      </w:pPr>
      <w:r>
        <w:rPr>
          <w:sz w:val="22"/>
          <w:szCs w:val="22"/>
        </w:rPr>
        <w:t>Stadtbürgermeister</w:t>
      </w:r>
    </w:p>
    <w:sectPr w:rsidR="00677684" w:rsidRPr="00677684" w:rsidSect="00677684">
      <w:pgSz w:w="11910" w:h="16840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1238"/>
    <w:multiLevelType w:val="hybridMultilevel"/>
    <w:tmpl w:val="58947BB8"/>
    <w:lvl w:ilvl="0" w:tplc="D464A1DA">
      <w:start w:val="1"/>
      <w:numFmt w:val="decimal"/>
      <w:lvlText w:val="(%1)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de-DE" w:eastAsia="de-DE" w:bidi="de-DE"/>
      </w:rPr>
    </w:lvl>
    <w:lvl w:ilvl="1" w:tplc="A0F0A7AA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de-DE" w:eastAsia="de-DE" w:bidi="de-DE"/>
      </w:rPr>
    </w:lvl>
    <w:lvl w:ilvl="2" w:tplc="A4DE5294">
      <w:numFmt w:val="bullet"/>
      <w:lvlText w:val="•"/>
      <w:lvlJc w:val="left"/>
      <w:pPr>
        <w:ind w:left="1780" w:hanging="360"/>
      </w:pPr>
      <w:rPr>
        <w:rFonts w:hint="default"/>
        <w:lang w:val="de-DE" w:eastAsia="de-DE" w:bidi="de-DE"/>
      </w:rPr>
    </w:lvl>
    <w:lvl w:ilvl="3" w:tplc="5C8A7468">
      <w:numFmt w:val="bullet"/>
      <w:lvlText w:val="•"/>
      <w:lvlJc w:val="left"/>
      <w:pPr>
        <w:ind w:left="2721" w:hanging="360"/>
      </w:pPr>
      <w:rPr>
        <w:rFonts w:hint="default"/>
        <w:lang w:val="de-DE" w:eastAsia="de-DE" w:bidi="de-DE"/>
      </w:rPr>
    </w:lvl>
    <w:lvl w:ilvl="4" w:tplc="55C4ACF8">
      <w:numFmt w:val="bullet"/>
      <w:lvlText w:val="•"/>
      <w:lvlJc w:val="left"/>
      <w:pPr>
        <w:ind w:left="3662" w:hanging="360"/>
      </w:pPr>
      <w:rPr>
        <w:rFonts w:hint="default"/>
        <w:lang w:val="de-DE" w:eastAsia="de-DE" w:bidi="de-DE"/>
      </w:rPr>
    </w:lvl>
    <w:lvl w:ilvl="5" w:tplc="2CFE6932">
      <w:numFmt w:val="bullet"/>
      <w:lvlText w:val="•"/>
      <w:lvlJc w:val="left"/>
      <w:pPr>
        <w:ind w:left="4602" w:hanging="360"/>
      </w:pPr>
      <w:rPr>
        <w:rFonts w:hint="default"/>
        <w:lang w:val="de-DE" w:eastAsia="de-DE" w:bidi="de-DE"/>
      </w:rPr>
    </w:lvl>
    <w:lvl w:ilvl="6" w:tplc="08E8FAF4">
      <w:numFmt w:val="bullet"/>
      <w:lvlText w:val="•"/>
      <w:lvlJc w:val="left"/>
      <w:pPr>
        <w:ind w:left="5543" w:hanging="360"/>
      </w:pPr>
      <w:rPr>
        <w:rFonts w:hint="default"/>
        <w:lang w:val="de-DE" w:eastAsia="de-DE" w:bidi="de-DE"/>
      </w:rPr>
    </w:lvl>
    <w:lvl w:ilvl="7" w:tplc="24088E34">
      <w:numFmt w:val="bullet"/>
      <w:lvlText w:val="•"/>
      <w:lvlJc w:val="left"/>
      <w:pPr>
        <w:ind w:left="6484" w:hanging="360"/>
      </w:pPr>
      <w:rPr>
        <w:rFonts w:hint="default"/>
        <w:lang w:val="de-DE" w:eastAsia="de-DE" w:bidi="de-DE"/>
      </w:rPr>
    </w:lvl>
    <w:lvl w:ilvl="8" w:tplc="E9EC9EFC">
      <w:numFmt w:val="bullet"/>
      <w:lvlText w:val="•"/>
      <w:lvlJc w:val="left"/>
      <w:pPr>
        <w:ind w:left="7424" w:hanging="3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B5"/>
    <w:rsid w:val="005A4E6E"/>
    <w:rsid w:val="005D5AF6"/>
    <w:rsid w:val="00601413"/>
    <w:rsid w:val="006108B5"/>
    <w:rsid w:val="00677684"/>
    <w:rsid w:val="00917AE6"/>
    <w:rsid w:val="00A22DEF"/>
    <w:rsid w:val="00CA3243"/>
    <w:rsid w:val="00EB7798"/>
    <w:rsid w:val="00FC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C4A6"/>
  <w15:docId w15:val="{EF49269C-D7F5-41BA-A1E9-96335831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22"/>
      <w:ind w:left="120" w:right="121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6" w:hanging="36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22"/>
      <w:ind w:left="836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Thilo Borbonus</dc:creator>
  <cp:lastModifiedBy>Thilo Borbonus</cp:lastModifiedBy>
  <cp:revision>7</cp:revision>
  <cp:lastPrinted>2022-12-27T14:41:00Z</cp:lastPrinted>
  <dcterms:created xsi:type="dcterms:W3CDTF">2023-01-19T09:02:00Z</dcterms:created>
  <dcterms:modified xsi:type="dcterms:W3CDTF">2023-12-08T07:50:00Z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2022-12-27T00:00:00Z</vt:filetime>
  </property>
</Properties>
</file>